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1D" w:rsidRPr="00C07B7B" w:rsidRDefault="00CC4D1D" w:rsidP="00CC4D1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ПОЛОЖЕННЯ</w:t>
      </w:r>
    </w:p>
    <w:p w:rsidR="00CC4D1D" w:rsidRDefault="00CC4D1D" w:rsidP="00CC4D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>ро проведення</w:t>
      </w:r>
    </w:p>
    <w:p w:rsidR="00CC4D1D" w:rsidRPr="00336427" w:rsidRDefault="00CC4D1D" w:rsidP="00CC4D1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36427">
        <w:rPr>
          <w:rFonts w:ascii="Times New Roman" w:hAnsi="Times New Roman" w:cs="Times New Roman"/>
          <w:b/>
          <w:sz w:val="44"/>
          <w:szCs w:val="44"/>
          <w:lang w:val="uk-UA"/>
        </w:rPr>
        <w:t xml:space="preserve">Міжнародного турніру з козацького </w:t>
      </w:r>
      <w:proofErr w:type="spellStart"/>
      <w:r w:rsidRPr="00336427">
        <w:rPr>
          <w:rFonts w:ascii="Times New Roman" w:hAnsi="Times New Roman" w:cs="Times New Roman"/>
          <w:b/>
          <w:sz w:val="44"/>
          <w:szCs w:val="44"/>
          <w:lang w:val="uk-UA"/>
        </w:rPr>
        <w:t>двобою</w:t>
      </w:r>
      <w:proofErr w:type="spellEnd"/>
      <w:r w:rsidRPr="00336427">
        <w:rPr>
          <w:rFonts w:ascii="Times New Roman" w:hAnsi="Times New Roman" w:cs="Times New Roman"/>
          <w:b/>
          <w:sz w:val="44"/>
          <w:szCs w:val="44"/>
          <w:lang w:val="uk-UA"/>
        </w:rPr>
        <w:t xml:space="preserve"> «</w:t>
      </w:r>
      <w:r w:rsidRPr="00336427">
        <w:rPr>
          <w:rFonts w:ascii="Times New Roman" w:hAnsi="Times New Roman" w:cs="Times New Roman"/>
          <w:b/>
          <w:sz w:val="44"/>
          <w:szCs w:val="44"/>
          <w:lang w:val="en-US"/>
        </w:rPr>
        <w:t>PRIDE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7</w:t>
      </w:r>
      <w:r w:rsidRPr="00336427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  <w:r w:rsidRPr="0033642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C4D1D" w:rsidRDefault="00CC4D1D" w:rsidP="00CC4D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дітей, юнаків, юніорів та дорослих</w:t>
      </w:r>
    </w:p>
    <w:p w:rsidR="00CC4D1D" w:rsidRDefault="00CC4D1D" w:rsidP="00CC4D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D1D" w:rsidRDefault="00CC4D1D" w:rsidP="00CC4D1D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4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17-18 лютого 2017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4E21CC">
        <w:rPr>
          <w:rFonts w:ascii="Times New Roman" w:hAnsi="Times New Roman" w:cs="Times New Roman"/>
          <w:sz w:val="28"/>
          <w:szCs w:val="28"/>
        </w:rPr>
        <w:t>.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364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Місце проведення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>: м. Луцьк</w:t>
      </w:r>
    </w:p>
    <w:p w:rsidR="00CC4D1D" w:rsidRDefault="00CC4D1D" w:rsidP="00CC4D1D">
      <w:pPr>
        <w:spacing w:after="0"/>
        <w:ind w:left="-851" w:righ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D1D" w:rsidRPr="00336427" w:rsidRDefault="00CC4D1D" w:rsidP="00CC4D1D">
      <w:pPr>
        <w:shd w:val="clear" w:color="auto" w:fill="FFFFFF"/>
        <w:spacing w:after="0" w:line="240" w:lineRule="auto"/>
        <w:ind w:right="-567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1. 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Мета та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завдання</w:t>
      </w:r>
      <w:proofErr w:type="spellEnd"/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</w:t>
      </w:r>
    </w:p>
    <w:p w:rsidR="00CC4D1D" w:rsidRPr="00336427" w:rsidRDefault="00CC4D1D" w:rsidP="00CC4D1D">
      <w:pPr>
        <w:pStyle w:val="a4"/>
        <w:shd w:val="clear" w:color="auto" w:fill="FFFFFF"/>
        <w:spacing w:after="0" w:line="240" w:lineRule="auto"/>
        <w:ind w:left="-851" w:right="-567"/>
        <w:contextualSpacing w:val="0"/>
        <w:textAlignment w:val="baseline"/>
        <w:outlineLvl w:val="3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Міжнародний турнір з Козацького </w:t>
      </w:r>
      <w:proofErr w:type="spellStart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Двобою</w:t>
      </w:r>
      <w:proofErr w:type="spellEnd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«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PRIDE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- 2017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»</w:t>
      </w:r>
      <w:r w:rsidRPr="00FF5235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серед дітей, юнаків, юніорів та дорослих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проводиться з метою: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 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популяризації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подальшого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розвитку</w:t>
      </w:r>
      <w:proofErr w:type="spellEnd"/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виду спорту «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Козацькій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Двобій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»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у Волинській області, в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Україні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 закордоном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- пропаганди патріотичного виховання молоді;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-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підвищення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рівня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суддів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 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подальшого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поліпшення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учбово-спортивної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роботи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спортивних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клубах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секціях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місцем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проживання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-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відбір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перспективних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для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формування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збірної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команди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України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Козацького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для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участі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міжнародних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змаганнях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2. </w:t>
      </w:r>
      <w:proofErr w:type="spellStart"/>
      <w:proofErr w:type="gram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Термін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, 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місце</w:t>
      </w:r>
      <w:proofErr w:type="spellEnd"/>
      <w:proofErr w:type="gram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проведення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програма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: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Міжнародний турнір з Козацького </w:t>
      </w:r>
      <w:proofErr w:type="spellStart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Двобою</w:t>
      </w:r>
      <w:proofErr w:type="spellEnd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«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PRIDE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- 2017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»</w:t>
      </w:r>
      <w:r w:rsidRPr="00FF5235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серед дітей, юнаків, юніорів та дорослих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проводиться за правилами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Всесвітньої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федерації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Козацького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(WCFF).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Змагання проходять за олімпійською системою із вибуванням після першої поразки. Рішенням головної суддівської колегії в окремих вагових категоріях із невеликою кількістю учасників система проведення змагань може бути змінена на кругову.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1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7 лютого: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Протягом дня – П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риїзд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команд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19:00-21:30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Офіційне зважування за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адресою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: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м. Луцьк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, </w:t>
      </w:r>
      <w:proofErr w:type="spellStart"/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вул</w:t>
      </w:r>
      <w:proofErr w:type="spellEnd"/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Бенделіані</w:t>
      </w:r>
      <w:proofErr w:type="spellEnd"/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 бойових мистецтв «</w:t>
      </w:r>
      <w:proofErr w:type="spellStart"/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Прайд</w:t>
      </w:r>
      <w:proofErr w:type="spellEnd"/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)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1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8 лютого: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09:45-10:15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інструктаж учасників змагань з правил безпеки та поведінки у торговому центрі (м. Луцьк, вул. Сухомлинського 1, ТРЦ «Порт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City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»)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10:30-11:45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попередні поєдинки;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12:00-12:45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урочиста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церемонія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відкриття змагань, показові виступи;             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13:00-20:00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поєдинки;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20:30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початок церемонії нагородження спортсменів вікових груп 10-12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 13-15 років, показові виступи;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22:30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початок вечірньої гала-програми фіналів вікових груп 16-18 та понад 19 років;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right="-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3.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Організація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керівництво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проведення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: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Міжнародний турнір з Козацького </w:t>
      </w:r>
      <w:proofErr w:type="spellStart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Двобою</w:t>
      </w:r>
      <w:proofErr w:type="spellEnd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«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PRIDE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- 2017»</w:t>
      </w:r>
      <w:r w:rsidRPr="00FF5235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серед дітей, юнаків, юніорів та дорослих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здійснюється: Всесвітньою Федерацією Козацького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Двобою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(надалі – ВФКД), ГО «Українська спортивна федерація «Козацький Двобій» (надалі — УСФКД) та офіційним представництвом ГО «Української спортивної федерації «Козацький Двобій» у Волинській області – Волинським регіональним клубом бойових мистецтв «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» (надалі – ВРКБМ «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»).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Безпосереднє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проведення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покладається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на В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РКБМ «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»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головну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суддівську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колегію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затверджену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Президією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ВФКД.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4. </w:t>
      </w:r>
      <w:proofErr w:type="spellStart"/>
      <w:proofErr w:type="gram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Підготовка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 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спортивних</w:t>
      </w:r>
      <w:proofErr w:type="spellEnd"/>
      <w:proofErr w:type="gram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 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споруд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: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У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відповідності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до Постанови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Кабінету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Міністрів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України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№ 2025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18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грудня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1998 року “Про порядок </w:t>
      </w:r>
      <w:proofErr w:type="spellStart"/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підготовки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спортивних</w:t>
      </w:r>
      <w:proofErr w:type="spellEnd"/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споруд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інших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спеціально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відповідних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місць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для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проведення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масових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спортивних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культурно-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видовищних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заходів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”: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¨ 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підготовка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спортивних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споруд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покладається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їх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власників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¨ контроль за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підготовкою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спортивних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споруд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забезпечення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безпеки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проведення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здійснює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робоча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комісія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яка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утворена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відповідною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обласною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адміністрацією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Власник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спортивної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споруди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не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менш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ніж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 4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години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до початку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зобов’язаний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подати акт до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робочої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комісії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про 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готовність</w:t>
      </w:r>
      <w:proofErr w:type="spellEnd"/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споруди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для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проведення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Невиконання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вимог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передбачених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цим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пунктом,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що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стали причиною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виникнення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надзвичайних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обставин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під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час 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проведення</w:t>
      </w:r>
      <w:proofErr w:type="spellEnd"/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тягне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 собою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відповідальність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5. 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Учасники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.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5.1.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На 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Міжнародний турнір з Козацького </w:t>
      </w:r>
      <w:proofErr w:type="spellStart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Двобою</w:t>
      </w:r>
      <w:proofErr w:type="spellEnd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«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PRIDE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- </w:t>
      </w:r>
      <w:proofErr w:type="gramStart"/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>2017</w:t>
      </w:r>
      <w:r w:rsidRPr="00C07B7B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»</w:t>
      </w:r>
      <w:r w:rsidRPr="00FF5235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>серед</w:t>
      </w:r>
      <w:proofErr w:type="gramEnd"/>
      <w:r w:rsidRPr="00FF5235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дітей, юнаків, юніорів та дорослих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допускаються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збірних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команд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країн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областей та клубів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основі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попередньо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заявок до 10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лютого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7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року, на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ел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.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адресу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ВРКБМ «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»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</w:t>
      </w:r>
      <w:hyperlink r:id="rId4" w:history="1"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sambo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kulakov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).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5.2.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Кожна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команда, склад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якої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перевищує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10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обов’язково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повинна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мати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одного </w:t>
      </w:r>
      <w:proofErr w:type="spellStart"/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суддю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за</w:t>
      </w:r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рахунок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відряджуючої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організації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               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5.3.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проводяться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згідно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діючими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міжнародними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правилами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Козацького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затвердженими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ВФКД </w:t>
      </w:r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та 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Міністерством</w:t>
      </w:r>
      <w:proofErr w:type="spellEnd"/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5.4.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учасники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повинні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мати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: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паспорт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або свідоцтво про народження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страховий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поліс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нещасного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випадку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 допуск лікаря.                                                                                                             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5.5.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Змагання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проводяться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наступних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вікових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групах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вагових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категоріях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розділах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: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                              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КОЗАЦ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  <w:t>Ь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КИЙ ДВОБІЙ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Борня-3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(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рукопаш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  <w:t>дозованим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дотиком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вільний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, аналог 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MMA 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Light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)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– 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серед учасників </w:t>
      </w: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10-12, 13-15, 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16-18 років;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uk-UA" w:eastAsia="ru-RU"/>
        </w:rPr>
        <w:t>Герць-2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  <w:t>(рукопаш із справжнім дотиком вільний,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en-US" w:eastAsia="ru-RU"/>
        </w:rPr>
        <w:t>Sanda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  <w:t>)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серед учасників понад 19 років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uk-UA" w:eastAsia="ru-RU"/>
        </w:rPr>
        <w:t>Герць-3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  <w:t>(рукопаш із справжнім дотиком вільний,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 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MMA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  <w:t>)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серед учасників понад 19 років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Вагові категорії</w:t>
      </w:r>
    </w:p>
    <w:p w:rsidR="00CC4D1D" w:rsidRPr="00CB2720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  <w:r w:rsidRPr="00CB2720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Борня 3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Діти (10-12 р.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)     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до 30,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до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35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кг, до 4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0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кг, до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кг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понад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4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5 кг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Юн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аки (13-15 р.) 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45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кг,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до 50 кг,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до 55 кг, до 60 кг, до 65 кг,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до 70 кг, понад 70 кг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Юніори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(16-18 р.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) до 60 кг, до 65 кг, до 70 кг, до 75 кг, понад 75 кг </w:t>
      </w:r>
    </w:p>
    <w:p w:rsidR="00CC4D1D" w:rsidRPr="00C07B7B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Герць</w:t>
      </w:r>
      <w:proofErr w:type="spellEnd"/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 2,</w:t>
      </w:r>
      <w:r w:rsidRPr="00CB2720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Герць</w:t>
      </w:r>
      <w:proofErr w:type="spellEnd"/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 3</w:t>
      </w:r>
    </w:p>
    <w:p w:rsidR="00CC4D1D" w:rsidRPr="00CB2720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Чоловіки (понад 19 р.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)до 60 кг, до 65,8 кг, до 70,3 кг, до 77,1 кг,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до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93 кг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, понад 93 кг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6. Фінансові умови проведення змагань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Витрати на організацію та проведення змагань  передбачаються за рахунок благодійного фонду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та інших позабюджетних надходжень, благодійних стартових внесків. Витрати на відрядження учасників, тренерів та представників команд (проїзд, харчування, добові, проживання та збереження заробітної плати) – за рахунок відряджуючих організацій.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Благодійний с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тартовий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внесок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для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вікових груп 10-12, 13-15 та 16-18 років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0 грн. (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юнаки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 юніори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. Для спортсменів вікових груп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понад 19 років – 2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00 грн. Благодійні стартові внески потрібно перерахувати на розрахунковий рахунок Волинського регіонального Клубу бойових мистецтв (ВРКБМ) «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» № 26008055509091, ОКПО 40085493, МФО 303440 ПРИВАТБАНК, або надати під час зважування до мандатної комісії.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7.Нагородження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>Змагання особисті.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Місця в кожній віковій групі і ваговій категорії визначаються наступним чином: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1 місце – займає переможець фіналу;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2 місце – той, хто програв в фіналі;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3 місце – посідають два учасники, які програли поєдинки в півфіналі.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</w:pP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Спортсмени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 вікових груп 10-12, 13-15 та 16-18 років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які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посіли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: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I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місця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—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нагороджуються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призами,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медалями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дипломами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відповідних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ступенів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II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— </w:t>
      </w:r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III 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місця</w:t>
      </w:r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— нагороджуються медалями та дипломами відповідних ступенів.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Спортсмени вікової групи понад 19 років, які посіли: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             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lastRenderedPageBreak/>
        <w:t xml:space="preserve">І та ІІ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місця у вечірній гала-програмі фіналів – нагороджуються грошовими преміями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або цінними призами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медалями та дипломами відповідних ступенів.                                                                         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III 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місця</w:t>
      </w:r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— нагороджуються медалями та дипломами відповідних ступенів.                               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>Рішенням головної суддівської колегії окремі спортсмени можуть бути відзначені за кращу технічну підготовку та волю до перемоги.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right="-567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right="-567"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8.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  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Спортивна форма та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екіпіровка</w:t>
      </w:r>
      <w:proofErr w:type="spellEnd"/>
    </w:p>
    <w:p w:rsidR="00CC4D1D" w:rsidRPr="00FF5235" w:rsidRDefault="00CC4D1D" w:rsidP="00CC4D1D">
      <w:pPr>
        <w:shd w:val="clear" w:color="auto" w:fill="FFFFFF"/>
        <w:spacing w:after="0" w:line="240" w:lineRule="auto"/>
        <w:ind w:right="-567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Форма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одягу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з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Козацького</w:t>
      </w:r>
      <w:proofErr w:type="spellEnd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Двобою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– спортивна форма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учасників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повинна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відповідати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традиційній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формі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Козацького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Двобою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шаровари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вишиванка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або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шорти чи штани,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клубна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футболка).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  <w:proofErr w:type="spellStart"/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Спортивне</w:t>
      </w:r>
      <w:proofErr w:type="spellEnd"/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спорядження</w:t>
      </w:r>
      <w:proofErr w:type="spellEnd"/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 xml:space="preserve"> та </w:t>
      </w:r>
      <w:proofErr w:type="spellStart"/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обладунок</w:t>
      </w:r>
      <w:proofErr w:type="spellEnd"/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Для учасників розділу 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Борня-3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: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капа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пахова раковина у бандажі, бинти (за бажанням), рукавички на руки (для рукопашного бою – не менше 8 унцій),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щиткі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на гомілки (за бажанням), шолом.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Для учасників розділу </w:t>
      </w: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Герць-2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: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капа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, пахова раковина у бандажі, бинти (за бажанням), рукавички на руки (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боксерські – не менше 10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унцій),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щиткі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на гомілки (за бажанням), шолом (за бажанням), шорти ММА.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Для учасників розділу 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Герць-3: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капа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пахова раковина у бандажі, бинти (за бажанням), рукавички на руки (для ММА – не менше 4 унцій),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щиткі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на гомілки (за бажанням), шолом (за бажанням), шорти ММА.</w:t>
      </w:r>
    </w:p>
    <w:p w:rsidR="00CC4D1D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</w:pPr>
    </w:p>
    <w:p w:rsidR="00CC4D1D" w:rsidRPr="00C07B7B" w:rsidRDefault="00CC4D1D" w:rsidP="00CC4D1D">
      <w:pPr>
        <w:shd w:val="clear" w:color="auto" w:fill="FFFFFF"/>
        <w:spacing w:after="0" w:line="240" w:lineRule="auto"/>
        <w:ind w:left="-851" w:right="-567" w:firstLine="709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FF523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9. Заявки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Попередні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заявки на участь </w:t>
      </w:r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команд  у</w:t>
      </w:r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змаганнях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подаються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до 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1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 xml:space="preserve">0 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  <w:t>лютого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  <w:t>7</w:t>
      </w:r>
      <w:r w:rsidRPr="00FF5235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 xml:space="preserve"> року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на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електрону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ш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ту (</w:t>
      </w:r>
      <w:hyperlink r:id="rId5" w:history="1"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sambo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kulakov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F5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).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Кожний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представник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команди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повинен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надати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мандатну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комісію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іменну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заявку на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встановленого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зразка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завірену керівником структурного підрозділу з питань фізичної </w:t>
      </w:r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культури  і</w:t>
      </w:r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спорту облдержадміністрації та керівником організації чи регіонального осередку. Крім того, в заявці навпроти кожного учасника повинен бути підпис лікаря спортивного диспансеру (завірений печаткою) про допуск до змагань, а також вказана загальна кількість учасників, допущених до змагань за станом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здоров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’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я, яка також завіряється підписом та скріплюється печаткою лікаря.</w:t>
      </w:r>
    </w:p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Паспорти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(свідоцтва про народження)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класифікаційні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книжки</w:t>
      </w:r>
      <w:proofErr w:type="gram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страхов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і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поліс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и</w:t>
      </w:r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подаються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у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мандатну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комісію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день </w:t>
      </w:r>
      <w:proofErr w:type="spellStart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приїзду</w:t>
      </w:r>
      <w:proofErr w:type="spellEnd"/>
      <w:r w:rsidRPr="00FF523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tbl>
      <w:tblPr>
        <w:tblW w:w="99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CC4D1D" w:rsidRPr="00FF5235" w:rsidTr="004A684D">
        <w:trPr>
          <w:tblCellSpacing w:w="0" w:type="dxa"/>
        </w:trPr>
        <w:tc>
          <w:tcPr>
            <w:tcW w:w="9975" w:type="dxa"/>
            <w:shd w:val="clear" w:color="auto" w:fill="FFFFFF"/>
            <w:vAlign w:val="bottom"/>
            <w:hideMark/>
          </w:tcPr>
          <w:p w:rsidR="00CC4D1D" w:rsidRPr="00FF5235" w:rsidRDefault="00CC4D1D" w:rsidP="004A684D">
            <w:pPr>
              <w:spacing w:after="0" w:line="240" w:lineRule="auto"/>
              <w:ind w:left="-851" w:right="-56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CC4D1D" w:rsidRPr="00FF5235" w:rsidRDefault="00CC4D1D" w:rsidP="004A684D">
            <w:pPr>
              <w:spacing w:after="0" w:line="240" w:lineRule="auto"/>
              <w:ind w:left="-851" w:righ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Т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елефон для </w:t>
            </w:r>
            <w:proofErr w:type="spellStart"/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довідок</w:t>
            </w:r>
            <w:proofErr w:type="spellEnd"/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: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 xml:space="preserve"> 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+380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>664177977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>Кулаков Олександр Володимирович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.</w:t>
            </w:r>
          </w:p>
          <w:p w:rsidR="00CC4D1D" w:rsidRPr="00FF5235" w:rsidRDefault="00CC4D1D" w:rsidP="004A684D">
            <w:pPr>
              <w:spacing w:after="0" w:line="240" w:lineRule="auto"/>
              <w:ind w:left="-851" w:righ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</w:p>
          <w:p w:rsidR="00CC4D1D" w:rsidRPr="00FF5235" w:rsidRDefault="00CC4D1D" w:rsidP="004A684D">
            <w:pPr>
              <w:spacing w:after="0" w:line="240" w:lineRule="auto"/>
              <w:ind w:righ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e</w:t>
            </w:r>
            <w:r w:rsidRPr="00C07B7B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mail</w:t>
            </w:r>
            <w:proofErr w:type="spellEnd"/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>: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 </w:t>
            </w:r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>(</w:t>
            </w:r>
            <w:hyperlink r:id="rId6" w:history="1">
              <w:r w:rsidRPr="00FF52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sambo</w:t>
              </w:r>
              <w:r w:rsidRPr="00FF52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70</w:t>
              </w:r>
              <w:r w:rsidRPr="00FF52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kulakov</w:t>
              </w:r>
              <w:r w:rsidRPr="00FF52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@</w:t>
              </w:r>
              <w:r w:rsidRPr="00FF52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FF52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Pr="00FF523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Pr="00FF52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>)</w:t>
            </w:r>
          </w:p>
          <w:p w:rsidR="00CC4D1D" w:rsidRPr="00FF5235" w:rsidRDefault="00CC4D1D" w:rsidP="004A684D">
            <w:pPr>
              <w:spacing w:after="0" w:line="240" w:lineRule="auto"/>
              <w:ind w:left="-851" w:right="-56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</w:p>
          <w:p w:rsidR="00CC4D1D" w:rsidRPr="00FF5235" w:rsidRDefault="00CC4D1D" w:rsidP="004A684D">
            <w:pPr>
              <w:spacing w:after="0" w:line="240" w:lineRule="auto"/>
              <w:ind w:left="-851" w:right="-56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</w:p>
          <w:p w:rsidR="00CC4D1D" w:rsidRPr="00FF5235" w:rsidRDefault="00CC4D1D" w:rsidP="004A68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Це положення є офіційним запрошенням для участі у змаганнях</w:t>
            </w:r>
          </w:p>
          <w:p w:rsidR="00CC4D1D" w:rsidRPr="00FF5235" w:rsidRDefault="00CC4D1D" w:rsidP="004A684D">
            <w:pPr>
              <w:spacing w:after="0" w:line="240" w:lineRule="auto"/>
              <w:ind w:left="-851" w:right="-56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</w:tc>
      </w:tr>
    </w:tbl>
    <w:p w:rsidR="00CC4D1D" w:rsidRPr="00FF5235" w:rsidRDefault="00CC4D1D" w:rsidP="00CC4D1D">
      <w:pPr>
        <w:shd w:val="clear" w:color="auto" w:fill="FFFFFF"/>
        <w:spacing w:after="0" w:line="240" w:lineRule="auto"/>
        <w:ind w:left="-851" w:right="-567"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CD4C0F" w:rsidRDefault="00CC4D1D">
      <w:pPr>
        <w:rPr>
          <w:lang w:val="uk-UA"/>
        </w:rPr>
      </w:pPr>
    </w:p>
    <w:p w:rsidR="00CC4D1D" w:rsidRPr="00FA6118" w:rsidRDefault="00CC4D1D" w:rsidP="00CC4D1D">
      <w:pPr>
        <w:tabs>
          <w:tab w:val="left" w:pos="5580"/>
        </w:tabs>
        <w:spacing w:after="0" w:line="240" w:lineRule="auto"/>
        <w:ind w:right="-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44"/>
          <w:szCs w:val="44"/>
          <w:lang w:val="en-US" w:eastAsia="ru-RU"/>
        </w:rPr>
        <w:lastRenderedPageBreak/>
        <w:t>The international tournament of WCFF and MMA</w:t>
      </w:r>
    </w:p>
    <w:p w:rsidR="00CC4D1D" w:rsidRPr="00DF0129" w:rsidRDefault="00CC4D1D" w:rsidP="00CC4D1D">
      <w:pPr>
        <w:tabs>
          <w:tab w:val="left" w:pos="5580"/>
        </w:tabs>
        <w:spacing w:line="240" w:lineRule="auto"/>
        <w:ind w:left="-851" w:right="-56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44"/>
          <w:szCs w:val="44"/>
          <w:lang w:val="en-US" w:eastAsia="ru-RU"/>
        </w:rPr>
        <w:t>“PRIDE-2017”</w:t>
      </w:r>
    </w:p>
    <w:p w:rsidR="00CC4D1D" w:rsidRPr="00E21D89" w:rsidRDefault="00CC4D1D" w:rsidP="00CC4D1D">
      <w:pPr>
        <w:tabs>
          <w:tab w:val="left" w:pos="5580"/>
        </w:tabs>
        <w:spacing w:line="240" w:lineRule="auto"/>
        <w:ind w:left="-851" w:right="-567"/>
        <w:rPr>
          <w:rFonts w:ascii="Times New Roman" w:hAnsi="Times New Roman" w:cs="Times New Roman"/>
          <w:sz w:val="32"/>
          <w:szCs w:val="32"/>
          <w:lang w:val="en-US"/>
        </w:rPr>
      </w:pPr>
      <w:r w:rsidRPr="00E21D8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           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</w:pP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1)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  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DATE: 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2017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February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17-18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</w:pP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2)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  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PLACE: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Lutsk (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Lviv</w:t>
      </w:r>
      <w:proofErr w:type="spellEnd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international airport)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Venue:  Ukraine,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Lutsk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Trade Center “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PortCity</w:t>
      </w:r>
      <w:proofErr w:type="spellEnd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”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</w:pP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3)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  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PROMOTER: 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Kulakov</w:t>
      </w:r>
      <w:proofErr w:type="spellEnd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Alexandr</w:t>
      </w:r>
      <w:proofErr w:type="spellEnd"/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4)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  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ORGANIZERS: 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World Cossack Fight Federation (WCFF)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5)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  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WEIGHT &amp; PASSPORT CONTROL: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2017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February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17 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from 14.00 to 18.00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</w:pP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6)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  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JUDGES AND REFEREES</w:t>
      </w:r>
      <w:r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: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Those who are Interested in participating as judges and referees should be informed, that they are going to attend a seminar. All Delegations are obligated to bring at least one (1) Judge or referee otherwise they will face a penalty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</w:pP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7) CONDITIONS FOR PARTICIPATION</w:t>
      </w:r>
      <w:r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2017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February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18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Start of the fights: 10.00 a.m. Allowed </w:t>
      </w:r>
      <w:proofErr w:type="gramStart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to start</w:t>
      </w:r>
      <w:proofErr w:type="gramEnd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: Fighters of any styles and organizations, with a medical attest.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ENTRY FEE: 2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 xml:space="preserve">0 </w:t>
      </w:r>
      <w:proofErr w:type="gramStart"/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Euro  (</w:t>
      </w:r>
      <w:proofErr w:type="gramEnd"/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per competitor, per style)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- </w:t>
      </w:r>
      <w:proofErr w:type="gramStart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adults</w:t>
      </w:r>
      <w:proofErr w:type="gramEnd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men, juniors and children. The fighter can participate in different disciplines.</w:t>
      </w:r>
    </w:p>
    <w:p w:rsidR="00CC4D1D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8) ACCOMMODATION 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Price Hotel 20-50 € in one day, per person (with breakfast and dinner). Information </w:t>
      </w:r>
      <w:proofErr w:type="gramStart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Tel :</w:t>
      </w:r>
      <w:proofErr w:type="gramEnd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+38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0664177977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,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proofErr w:type="gramStart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e-mail</w:t>
      </w:r>
      <w:proofErr w:type="gramEnd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sambo70kulakov@mail.ru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This e-mail address is being protected from spam bots, you need JavaScript enabled to view it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9)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  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DIVISIONS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br/>
        <w:t>«</w:t>
      </w:r>
      <w:proofErr w:type="spellStart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Bornya</w:t>
      </w:r>
      <w:proofErr w:type="spellEnd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3″ – MM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A-Light (age 10-12, 13-15);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«</w:t>
      </w:r>
      <w:proofErr w:type="spellStart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Gerts</w:t>
      </w:r>
      <w:proofErr w:type="spellEnd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3″ – MMA-Elite.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«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Gerts</w:t>
      </w:r>
      <w:proofErr w:type="spellEnd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2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″ – 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Sanda</w:t>
      </w:r>
      <w:proofErr w:type="spellEnd"/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inherit" w:eastAsia="Times New Roman" w:hAnsi="inherit" w:cs="Arial"/>
          <w:b/>
          <w:bCs/>
          <w:color w:val="505050"/>
          <w:sz w:val="18"/>
          <w:szCs w:val="18"/>
          <w:u w:val="single"/>
          <w:bdr w:val="none" w:sz="0" w:space="0" w:color="auto" w:frame="1"/>
          <w:lang w:val="en-US" w:eastAsia="ru-RU"/>
        </w:rPr>
        <w:t>Age and weight divisions:</w:t>
      </w:r>
    </w:p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«</w:t>
      </w:r>
      <w:proofErr w:type="spellStart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Bornya</w:t>
      </w:r>
      <w:proofErr w:type="spellEnd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3″ – MMA-Light;</w:t>
      </w:r>
    </w:p>
    <w:tbl>
      <w:tblPr>
        <w:tblW w:w="92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090"/>
        <w:gridCol w:w="434"/>
        <w:gridCol w:w="433"/>
        <w:gridCol w:w="433"/>
        <w:gridCol w:w="433"/>
        <w:gridCol w:w="464"/>
        <w:gridCol w:w="434"/>
        <w:gridCol w:w="464"/>
        <w:gridCol w:w="523"/>
        <w:gridCol w:w="523"/>
        <w:gridCol w:w="521"/>
        <w:gridCol w:w="521"/>
        <w:gridCol w:w="521"/>
        <w:gridCol w:w="521"/>
        <w:gridCol w:w="521"/>
      </w:tblGrid>
      <w:tr w:rsidR="00CC4D1D" w:rsidRPr="00DF0129" w:rsidTr="004A684D">
        <w:trPr>
          <w:tblCellSpacing w:w="0" w:type="dxa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No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Age</w:t>
            </w:r>
            <w:proofErr w:type="spellEnd"/>
          </w:p>
        </w:tc>
        <w:tc>
          <w:tcPr>
            <w:tcW w:w="6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Weight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divisions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0129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men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Juniors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age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16-18)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Default="00CC4D1D" w:rsidP="004A684D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  <w:p w:rsidR="00CC4D1D" w:rsidRDefault="00CC4D1D" w:rsidP="004A684D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  <w:p w:rsidR="00CC4D1D" w:rsidRPr="00DF0129" w:rsidRDefault="00CC4D1D" w:rsidP="004A684D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4F49A0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+75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Cadets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age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13-15)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4F49A0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+70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4F49A0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Cadets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age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10-12)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                    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   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4F49A0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+</w:t>
            </w: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rHeight w:val="463"/>
          <w:tblCellSpacing w:w="0" w:type="dxa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tbl>
      <w:tblPr>
        <w:tblW w:w="22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</w:tblGrid>
      <w:tr w:rsidR="00CC4D1D" w:rsidRPr="00DF0129" w:rsidTr="004A684D">
        <w:trPr>
          <w:tblCellSpacing w:w="0" w:type="dxa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D1D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4F49A0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«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Gerts</w:t>
      </w:r>
      <w:proofErr w:type="spellEnd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3″ – MMA-Elite and «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Gerts</w:t>
      </w:r>
      <w:proofErr w:type="spellEnd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2″ – </w:t>
      </w:r>
      <w:proofErr w:type="spellStart"/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Sanda</w:t>
      </w:r>
      <w:proofErr w:type="spellEnd"/>
    </w:p>
    <w:p w:rsidR="00CC4D1D" w:rsidRPr="004F49A0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098"/>
        <w:gridCol w:w="625"/>
        <w:gridCol w:w="626"/>
        <w:gridCol w:w="627"/>
        <w:gridCol w:w="627"/>
        <w:gridCol w:w="627"/>
        <w:gridCol w:w="627"/>
        <w:gridCol w:w="626"/>
        <w:gridCol w:w="627"/>
        <w:gridCol w:w="624"/>
      </w:tblGrid>
      <w:tr w:rsidR="00CC4D1D" w:rsidRPr="00DF0129" w:rsidTr="004A684D">
        <w:trPr>
          <w:tblCellSpacing w:w="0" w:type="dxa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No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Age</w:t>
            </w:r>
            <w:proofErr w:type="spellEnd"/>
          </w:p>
        </w:tc>
        <w:tc>
          <w:tcPr>
            <w:tcW w:w="5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Weight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divisions</w:t>
            </w:r>
            <w:proofErr w:type="spellEnd"/>
          </w:p>
        </w:tc>
      </w:tr>
      <w:tr w:rsidR="00CC4D1D" w:rsidRPr="00DF0129" w:rsidTr="004A684D">
        <w:trPr>
          <w:tblCellSpacing w:w="0" w:type="dxa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Adults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(</w:t>
            </w:r>
            <w:proofErr w:type="spellStart"/>
            <w:proofErr w:type="gram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age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19-40) (</w:t>
            </w:r>
            <w:proofErr w:type="spellStart"/>
            <w:r w:rsidRPr="00DF0129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men</w:t>
            </w:r>
            <w:proofErr w:type="spellEnd"/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-65,8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-70,3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-77,1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F01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+93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D1D" w:rsidRPr="00DF0129" w:rsidRDefault="00CC4D1D" w:rsidP="004A684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CC4D1D" w:rsidRPr="004F49A0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10) PROGRAM OF THE EVENT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February 17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: 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Arrival of the Teams;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February 18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: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i/>
          <w:iCs/>
          <w:color w:val="505050"/>
          <w:sz w:val="18"/>
          <w:szCs w:val="18"/>
          <w:lang w:val="en-US" w:eastAsia="ru-RU"/>
        </w:rPr>
        <w:t>10.00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               Open Ceremony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,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Preliminary Fights for all styles, Semi-Final Fights for all style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s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,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Final Fights for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MMA-Light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style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, Awards ceremony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505050"/>
          <w:sz w:val="18"/>
          <w:szCs w:val="18"/>
          <w:lang w:val="en-US" w:eastAsia="ru-RU"/>
        </w:rPr>
        <w:t>22:3</w:t>
      </w:r>
      <w:r w:rsidRPr="00DF0129">
        <w:rPr>
          <w:rFonts w:ascii="Arial" w:eastAsia="Times New Roman" w:hAnsi="Arial" w:cs="Arial"/>
          <w:i/>
          <w:iCs/>
          <w:color w:val="505050"/>
          <w:sz w:val="18"/>
          <w:szCs w:val="18"/>
          <w:lang w:val="en-US" w:eastAsia="ru-RU"/>
        </w:rPr>
        <w:t>0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               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Final Fights for K-1 and MMA-Elite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 styles, Awards ceremony.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i/>
          <w:iCs/>
          <w:color w:val="505050"/>
          <w:sz w:val="18"/>
          <w:szCs w:val="18"/>
          <w:lang w:val="en-US" w:eastAsia="ru-RU"/>
        </w:rPr>
        <w:br/>
      </w:r>
      <w:r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December 19</w:t>
      </w: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: 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Departure of the Teams</w:t>
      </w:r>
    </w:p>
    <w:p w:rsidR="00CC4D1D" w:rsidRPr="00DF0129" w:rsidRDefault="00CC4D1D" w:rsidP="00CC4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b/>
          <w:bCs/>
          <w:color w:val="505050"/>
          <w:sz w:val="18"/>
          <w:szCs w:val="18"/>
          <w:lang w:val="en-US" w:eastAsia="ru-RU"/>
        </w:rPr>
        <w:t>11) CONTACT – VISA DOCUMENTS 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For more Information or Visa Documents please contact: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proofErr w:type="gramStart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e-mail</w:t>
      </w:r>
      <w:proofErr w:type="gramEnd"/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sambo70kulakov@mail</w:t>
      </w: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.ru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 </w:t>
      </w:r>
    </w:p>
    <w:p w:rsidR="00CC4D1D" w:rsidRPr="00DF0129" w:rsidRDefault="00CC4D1D" w:rsidP="00CC4D1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</w:pPr>
      <w:r w:rsidRPr="00DF0129"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 xml:space="preserve">+38 </w:t>
      </w:r>
      <w:r>
        <w:rPr>
          <w:rFonts w:ascii="Arial" w:eastAsia="Times New Roman" w:hAnsi="Arial" w:cs="Arial"/>
          <w:color w:val="505050"/>
          <w:sz w:val="18"/>
          <w:szCs w:val="18"/>
          <w:lang w:val="en-US" w:eastAsia="ru-RU"/>
        </w:rPr>
        <w:t>0664177977</w:t>
      </w:r>
    </w:p>
    <w:p w:rsidR="00CC4D1D" w:rsidRPr="00DF0129" w:rsidRDefault="00CC4D1D" w:rsidP="00CC4D1D">
      <w:pPr>
        <w:shd w:val="clear" w:color="auto" w:fill="FFFFFF"/>
        <w:spacing w:after="0" w:line="240" w:lineRule="auto"/>
        <w:ind w:left="-851" w:right="-567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CC4D1D" w:rsidRPr="00CC4D1D" w:rsidRDefault="00CC4D1D">
      <w:pPr>
        <w:rPr>
          <w:lang w:val="uk-UA"/>
        </w:rPr>
      </w:pPr>
      <w:bookmarkStart w:id="0" w:name="_GoBack"/>
      <w:bookmarkEnd w:id="0"/>
    </w:p>
    <w:sectPr w:rsidR="00CC4D1D" w:rsidRPr="00CC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2"/>
    <w:rsid w:val="00106B72"/>
    <w:rsid w:val="007406AA"/>
    <w:rsid w:val="00A143E6"/>
    <w:rsid w:val="00C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9323-A31A-4B22-BEC2-DD1240C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bo70kulakov@mail.ru" TargetMode="External"/><Relationship Id="rId5" Type="http://schemas.openxmlformats.org/officeDocument/2006/relationships/hyperlink" Target="mailto:sambo70kulakov@mail.ru" TargetMode="External"/><Relationship Id="rId4" Type="http://schemas.openxmlformats.org/officeDocument/2006/relationships/hyperlink" Target="mailto:sambo70kula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Iruna</dc:creator>
  <cp:keywords/>
  <dc:description/>
  <cp:lastModifiedBy>Iruna</cp:lastModifiedBy>
  <cp:revision>2</cp:revision>
  <dcterms:created xsi:type="dcterms:W3CDTF">2017-01-17T07:25:00Z</dcterms:created>
  <dcterms:modified xsi:type="dcterms:W3CDTF">2017-01-17T07:25:00Z</dcterms:modified>
</cp:coreProperties>
</file>